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685910255"/>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This thesis is based on </w:t>
      </w:r>
      <w:del w:id="172" w:author="Unknown Author" w:date="2018-04-12T11:2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work </w:t>
      </w:r>
      <w:del w:id="173" w:author="Unknown Author" w:date="2018-04-12T11:21:00Z">
        <w:r>
          <w:rPr>
            <w:rFonts w:ascii="Calibri" w:hAnsi="Calibri" w:asciiTheme="majorHAnsi" w:hAnsiTheme="majorHAnsi"/>
            <w:lang w:val="en-GB"/>
          </w:rPr>
          <w:delText xml:space="preserve">undertook </w:delText>
        </w:r>
      </w:del>
      <w:r>
        <w:rPr>
          <w:rFonts w:ascii="Calibri" w:hAnsi="Calibri" w:asciiTheme="majorHAnsi" w:hAnsiTheme="majorHAnsi"/>
          <w:lang w:val="en-GB"/>
        </w:rPr>
        <w:t xml:space="preserve">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xml:space="preserve">. The district encompasses two hospitals and 12 health centres, </w:t>
      </w:r>
      <w:ins w:id="174" w:author="Unknown Author" w:date="2018-04-12T11:23:00Z">
        <w:r>
          <w:rPr>
            <w:rFonts w:ascii="Calibri" w:hAnsi="Calibri" w:asciiTheme="majorHAnsi" w:hAnsiTheme="majorHAnsi"/>
            <w:lang w:val="en-GB"/>
          </w:rPr>
          <w:t>with the</w:t>
        </w:r>
      </w:ins>
      <w:del w:id="175" w:author="Unknown Author" w:date="2018-04-12T11:23:00Z">
        <w:r>
          <w:rPr>
            <w:rFonts w:ascii="Calibri" w:hAnsi="Calibri" w:asciiTheme="majorHAnsi" w:hAnsiTheme="majorHAnsi"/>
            <w:lang w:val="en-GB"/>
          </w:rPr>
          <w:delText>being the</w:delText>
        </w:r>
      </w:del>
      <w:r>
        <w:rPr>
          <w:rFonts w:ascii="Calibri" w:hAnsi="Calibri" w:asciiTheme="majorHAnsi" w:hAnsiTheme="majorHAnsi"/>
          <w:lang w:val="en-GB"/>
        </w:rPr>
        <w:t xml:space="preserv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w:t>
      </w:r>
      <w:ins w:id="176" w:author="Unknown Author" w:date="2018-04-12T11:23:00Z">
        <w:r>
          <w:rPr>
            <w:rFonts w:ascii="Calibri" w:hAnsi="Calibri" w:asciiTheme="majorHAnsi" w:hAnsiTheme="majorHAnsi"/>
            <w:lang w:val="en-GB"/>
          </w:rPr>
          <w:t>-</w:t>
        </w:r>
      </w:ins>
      <w:r>
        <w:rPr>
          <w:rFonts w:ascii="Calibri" w:hAnsi="Calibri" w:asciiTheme="majorHAnsi" w:hAnsiTheme="majorHAnsi"/>
          <w:lang w:val="en-GB"/>
        </w:rPr>
        <w:t>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pPr>
      <w:r>
        <w:rPr>
          <w:rFonts w:cs="Times New Roman" w:ascii="Times New Roman" w:hAnsi="Times New Roman"/>
        </w:rPr>
        <w:t xml:space="preserve">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w:t>
      </w:r>
      <w:del w:id="177" w:author="Unknown Author" w:date="2018-04-12T11:27:00Z">
        <w:r>
          <w:rPr>
            <w:rFonts w:cs="Times New Roman" w:ascii="Times New Roman" w:hAnsi="Times New Roman"/>
          </w:rPr>
          <w:delText>due</w:delText>
        </w:r>
      </w:del>
      <w:ins w:id="178" w:author="Unknown Author" w:date="2018-04-12T11:27:00Z">
        <w:r>
          <w:rPr>
            <w:rFonts w:cs="Times New Roman" w:ascii="Times New Roman" w:hAnsi="Times New Roman"/>
          </w:rPr>
          <w:t>in order to overcome</w:t>
        </w:r>
      </w:ins>
      <w:del w:id="179" w:author="Unknown Author" w:date="2018-04-12T11:27:00Z">
        <w:r>
          <w:rPr>
            <w:rFonts w:cs="Times New Roman" w:ascii="Times New Roman" w:hAnsi="Times New Roman"/>
          </w:rPr>
          <w:delText xml:space="preserve"> to</w:delText>
        </w:r>
      </w:del>
      <w:r>
        <w:rPr>
          <w:rFonts w:cs="Times New Roman" w:ascii="Times New Roman" w:hAnsi="Times New Roman"/>
        </w:rPr>
        <w:t xml:space="preserve"> the challenge</w:t>
      </w:r>
      <w:del w:id="180" w:author="Unknown Author" w:date="2018-04-12T11:27:00Z">
        <w:r>
          <w:rPr>
            <w:rFonts w:cs="Times New Roman" w:ascii="Times New Roman" w:hAnsi="Times New Roman"/>
          </w:rPr>
          <w:delText>s</w:delText>
        </w:r>
      </w:del>
      <w:r>
        <w:rPr>
          <w:rFonts w:cs="Times New Roman" w:ascii="Times New Roman" w:hAnsi="Times New Roman"/>
        </w:rPr>
        <w:t xml:space="preserve"> </w:t>
      </w:r>
      <w:ins w:id="181" w:author="Unknown Author" w:date="2018-04-12T11:27:00Z">
        <w:r>
          <w:rPr>
            <w:rFonts w:cs="Times New Roman" w:ascii="Times New Roman" w:hAnsi="Times New Roman"/>
          </w:rPr>
          <w:t>of</w:t>
        </w:r>
      </w:ins>
      <w:del w:id="182" w:author="Unknown Author" w:date="2018-04-12T11:27:00Z">
        <w:r>
          <w:rPr>
            <w:rFonts w:cs="Times New Roman" w:ascii="Times New Roman" w:hAnsi="Times New Roman"/>
          </w:rPr>
          <w:delText>to</w:delText>
        </w:r>
      </w:del>
      <w:r>
        <w:rPr>
          <w:rFonts w:cs="Times New Roman" w:ascii="Times New Roman" w:hAnsi="Times New Roman"/>
        </w:rPr>
        <w:t xml:space="preserve"> reach</w:t>
      </w:r>
      <w:ins w:id="183" w:author="Unknown Author" w:date="2018-04-12T11:27:00Z">
        <w:r>
          <w:rPr>
            <w:rFonts w:cs="Times New Roman" w:ascii="Times New Roman" w:hAnsi="Times New Roman"/>
          </w:rPr>
          <w:t>ing</w:t>
        </w:r>
      </w:ins>
      <w:r>
        <w:rPr>
          <w:rFonts w:cs="Times New Roman" w:ascii="Times New Roman" w:hAnsi="Times New Roman"/>
        </w:rPr>
        <w:t xml:space="preserve">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w:t>
      </w:r>
      <w:del w:id="184" w:author="Unknown Author" w:date="2018-04-12T11:29:00Z">
        <w:r>
          <w:rPr>
            <w:rFonts w:cs="Times New Roman" w:ascii="Times New Roman" w:hAnsi="Times New Roman"/>
          </w:rPr>
          <w:delText>an</w:delText>
        </w:r>
      </w:del>
      <w:ins w:id="185" w:author="Unknown Author" w:date="2018-04-12T11:29:00Z">
        <w:r>
          <w:rPr>
            <w:rFonts w:cs="Times New Roman" w:ascii="Times New Roman" w:hAnsi="Times New Roman"/>
          </w:rPr>
          <w:t>the</w:t>
        </w:r>
      </w:ins>
      <w:r>
        <w:rPr>
          <w:rFonts w:cs="Times New Roman" w:ascii="Times New Roman" w:hAnsi="Times New Roman"/>
        </w:rPr>
        <w:t xml:space="preserve"> economic cost per dose </w:t>
      </w:r>
      <w:ins w:id="186" w:author="Unknown Author" w:date="2018-04-12T11:29:00Z">
        <w:r>
          <w:rPr>
            <w:rFonts w:cs="Times New Roman" w:ascii="Times New Roman" w:hAnsi="Times New Roman"/>
          </w:rPr>
          <w:t>was</w:t>
        </w:r>
      </w:ins>
      <w:del w:id="187" w:author="Unknown Author" w:date="2018-04-12T11:29:00Z">
        <w:r>
          <w:rPr>
            <w:rFonts w:cs="Times New Roman" w:ascii="Times New Roman" w:hAnsi="Times New Roman"/>
          </w:rPr>
          <w:delText>resulted in</w:delText>
        </w:r>
      </w:del>
      <w:r>
        <w:rPr>
          <w:rFonts w:cs="Times New Roman" w:ascii="Times New Roman" w:hAnsi="Times New Roman"/>
        </w:rPr>
        <w:t xml:space="preserve">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w:t>
      </w:r>
      <w:del w:id="188" w:author="Unknown Author" w:date="2018-04-12T11:29:00Z">
        <w:r>
          <w:rPr>
            <w:rFonts w:cs="Times New Roman" w:ascii="Times New Roman" w:hAnsi="Times New Roman"/>
          </w:rPr>
          <w:delText>hits</w:delText>
        </w:r>
      </w:del>
      <w:ins w:id="189" w:author="Unknown Author" w:date="2018-04-12T11:29:00Z">
        <w:r>
          <w:rPr>
            <w:rFonts w:cs="Times New Roman" w:ascii="Times New Roman" w:hAnsi="Times New Roman"/>
          </w:rPr>
          <w:t>affects</w:t>
        </w:r>
      </w:ins>
      <w:r>
        <w:rPr>
          <w:rFonts w:cs="Times New Roman" w:ascii="Times New Roman" w:hAnsi="Times New Roman"/>
        </w:rPr>
        <w:t xml:space="preserve">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w:t>
      </w:r>
      <w:del w:id="190" w:author="Unknown Author" w:date="2018-04-12T11:30:00Z">
        <w:r>
          <w:rPr>
            <w:rFonts w:cs="Times New Roman" w:ascii="Times New Roman" w:hAnsi="Times New Roman"/>
          </w:rPr>
          <w:delText>of</w:delText>
        </w:r>
      </w:del>
      <w:ins w:id="191" w:author="Unknown Author" w:date="2018-04-12T11:30:00Z">
        <w:r>
          <w:rPr>
            <w:rFonts w:cs="Times New Roman" w:ascii="Times New Roman" w:hAnsi="Times New Roman"/>
          </w:rPr>
          <w:t>in</w:t>
        </w:r>
      </w:ins>
      <w:r>
        <w:rPr>
          <w:rFonts w:cs="Times New Roman" w:ascii="Times New Roman" w:hAnsi="Times New Roman"/>
        </w:rPr>
        <w:t xml:space="preserve">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The development of safe and efficacious vaccines against the two high-risk HPV genotypes raised hope</w:t>
      </w:r>
      <w:ins w:id="192" w:author="Unknown Author" w:date="2018-04-12T11:30:00Z">
        <w:r>
          <w:rPr>
            <w:rFonts w:cs="Times New Roman" w:ascii="Times New Roman" w:hAnsi="Times New Roman"/>
          </w:rPr>
          <w:t>s</w:t>
        </w:r>
      </w:ins>
      <w:r>
        <w:rPr>
          <w:rFonts w:cs="Times New Roman" w:ascii="Times New Roman" w:hAnsi="Times New Roman"/>
        </w:rPr>
        <w:t xml:space="preserve"> </w:t>
      </w:r>
      <w:ins w:id="193" w:author="Unknown Author" w:date="2018-04-12T11:30:00Z">
        <w:r>
          <w:rPr>
            <w:rFonts w:cs="Times New Roman" w:ascii="Times New Roman" w:hAnsi="Times New Roman"/>
          </w:rPr>
          <w:t>of reducing</w:t>
        </w:r>
      </w:ins>
      <w:del w:id="194" w:author="Unknown Author" w:date="2018-04-12T11:30:00Z">
        <w:r>
          <w:rPr>
            <w:rFonts w:cs="Times New Roman" w:ascii="Times New Roman" w:hAnsi="Times New Roman"/>
          </w:rPr>
          <w:delText>to reduce</w:delText>
        </w:r>
      </w:del>
      <w:r>
        <w:rPr>
          <w:rFonts w:cs="Times New Roman" w:ascii="Times New Roman" w:hAnsi="Times New Roman"/>
        </w:rPr>
        <w:t xml:space="preserv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w:t>
      </w:r>
      <w:ins w:id="195" w:author="Unknown Author" w:date="2018-04-12T11:31:00Z">
        <w:r>
          <w:rPr>
            <w:rFonts w:cs="Times New Roman" w:ascii="Times New Roman" w:hAnsi="Times New Roman"/>
          </w:rPr>
          <w:t>of reaching</w:t>
        </w:r>
      </w:ins>
      <w:del w:id="196" w:author="Unknown Author" w:date="2018-04-12T11:31:00Z">
        <w:r>
          <w:rPr>
            <w:rFonts w:cs="Times New Roman" w:ascii="Times New Roman" w:hAnsi="Times New Roman"/>
          </w:rPr>
          <w:delText>to reach</w:delText>
        </w:r>
      </w:del>
      <w:r>
        <w:rPr>
          <w:rFonts w:cs="Times New Roman" w:ascii="Times New Roman" w:hAnsi="Times New Roman"/>
        </w:rPr>
        <w:t xml:space="preserve">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w:t>
      </w:r>
      <w:del w:id="197" w:author="Unknown Author" w:date="2018-04-12T11:39:00Z">
        <w:r>
          <w:rPr>
            <w:rFonts w:cs="Times New Roman" w:ascii="Times New Roman" w:hAnsi="Times New Roman"/>
          </w:rPr>
          <w:delText xml:space="preserve">the </w:delText>
        </w:r>
      </w:del>
      <w:r>
        <w:rPr>
          <w:rFonts w:cs="Times New Roman" w:ascii="Times New Roman" w:hAnsi="Times New Roman"/>
        </w:rPr>
        <w:t xml:space="preserve">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w:t>
      </w:r>
      <w:del w:id="198" w:author="Unknown Author" w:date="2018-04-12T11:40:00Z">
        <w:r>
          <w:rPr>
            <w:rFonts w:cs="Times New Roman" w:ascii="Times New Roman" w:hAnsi="Times New Roman"/>
          </w:rPr>
          <w:delText xml:space="preserve">the </w:delText>
        </w:r>
      </w:del>
      <w:r>
        <w:rPr>
          <w:rFonts w:cs="Times New Roman" w:ascii="Times New Roman" w:hAnsi="Times New Roman"/>
        </w:rPr>
        <w:t>households owned a radio but only 3%</w:t>
      </w:r>
      <w:del w:id="199" w:author="Unknown Author" w:date="2018-04-12T11:40:00Z">
        <w:r>
          <w:rPr>
            <w:rFonts w:cs="Times New Roman" w:ascii="Times New Roman" w:hAnsi="Times New Roman"/>
          </w:rPr>
          <w:delText xml:space="preserve"> of them</w:delText>
        </w:r>
      </w:del>
      <w:r>
        <w:rPr>
          <w:rFonts w:cs="Times New Roman" w:ascii="Times New Roman" w:hAnsi="Times New Roman"/>
        </w:rPr>
        <w:t xml:space="preserve"> owned a car. 17% of </w:t>
      </w:r>
      <w:del w:id="200" w:author="Unknown Author" w:date="2018-04-12T11:40:00Z">
        <w:r>
          <w:rPr>
            <w:rFonts w:cs="Times New Roman" w:ascii="Times New Roman" w:hAnsi="Times New Roman"/>
          </w:rPr>
          <w:delText xml:space="preserve">the </w:delText>
        </w:r>
      </w:del>
      <w:r>
        <w:rPr>
          <w:rFonts w:cs="Times New Roman" w:ascii="Times New Roman" w:hAnsi="Times New Roman"/>
        </w:rPr>
        <w:t xml:space="preserve">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w:t>
      </w:r>
      <w:del w:id="201" w:author="Unknown Author" w:date="2018-04-12T11:41:00Z">
        <w:r>
          <w:rPr>
            <w:rFonts w:cs="Times New Roman" w:ascii="Times New Roman" w:hAnsi="Times New Roman"/>
          </w:rPr>
          <w:delText xml:space="preserve">the </w:delText>
        </w:r>
      </w:del>
      <w:r>
        <w:rPr>
          <w:rFonts w:cs="Times New Roman" w:ascii="Times New Roman" w:hAnsi="Times New Roman"/>
        </w:rPr>
        <w:t xml:space="preserve">vaccine procurement, delivery and administration. While representatives at </w:t>
      </w:r>
      <w:ins w:id="202" w:author="Unknown Author" w:date="2018-04-12T11:41:00Z">
        <w:r>
          <w:rPr>
            <w:rFonts w:cs="Times New Roman" w:ascii="Times New Roman" w:hAnsi="Times New Roman"/>
          </w:rPr>
          <w:t xml:space="preserve">the </w:t>
        </w:r>
      </w:ins>
      <w:r>
        <w:rPr>
          <w:rFonts w:cs="Times New Roman" w:ascii="Times New Roman" w:hAnsi="Times New Roman"/>
        </w:rPr>
        <w:t xml:space="preserve">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w:t>
      </w:r>
      <w:del w:id="203" w:author="Unknown Author" w:date="2018-04-12T11:41:00Z">
        <w:r>
          <w:rPr>
            <w:rFonts w:cs="Times New Roman" w:ascii="Times New Roman" w:hAnsi="Times New Roman"/>
          </w:rPr>
          <w:delText>responsible</w:delText>
        </w:r>
      </w:del>
      <w:ins w:id="204" w:author="Unknown Author" w:date="2018-04-12T11:41:00Z">
        <w:r>
          <w:rPr>
            <w:rFonts w:cs="Times New Roman" w:ascii="Times New Roman" w:hAnsi="Times New Roman"/>
          </w:rPr>
          <w:t>head</w:t>
        </w:r>
      </w:ins>
      <w:r>
        <w:rPr>
          <w:rFonts w:cs="Times New Roman" w:ascii="Times New Roman" w:hAnsi="Times New Roman"/>
        </w:rPr>
        <w:t xml:space="preserve">, EPI financial </w:t>
      </w:r>
      <w:del w:id="205" w:author="Unknown Author" w:date="2018-04-12T11:41:00Z">
        <w:r>
          <w:rPr>
            <w:rFonts w:cs="Times New Roman" w:ascii="Times New Roman" w:hAnsi="Times New Roman"/>
          </w:rPr>
          <w:delText>responsible</w:delText>
        </w:r>
      </w:del>
      <w:ins w:id="206" w:author="Unknown Author" w:date="2018-04-12T11:41:00Z">
        <w:r>
          <w:rPr>
            <w:rFonts w:cs="Times New Roman" w:ascii="Times New Roman" w:hAnsi="Times New Roman"/>
          </w:rPr>
          <w:t>head</w:t>
        </w:r>
      </w:ins>
      <w:r>
        <w:rPr>
          <w:rFonts w:cs="Times New Roman" w:ascii="Times New Roman" w:hAnsi="Times New Roman"/>
        </w:rPr>
        <w:t xml:space="preserv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A linear depreciation approach was used to capture the value loss of certain products subject to devaluation, such as vehicles, using a standard discount rate of 3%</w:t>
      </w:r>
      <w:ins w:id="207" w:author="Unknown Author" w:date="2018-04-12T11:42:00Z">
        <w:r>
          <w:rPr>
            <w:rFonts w:cs="Times New Roman" w:ascii="Times New Roman" w:hAnsi="Times New Roman"/>
          </w:rPr>
          <w:commentReference w:id="9"/>
        </w:r>
      </w:ins>
      <w:r>
        <w:rPr>
          <w:rFonts w:cs="Times New Roman" w:ascii="Times New Roman" w:hAnsi="Times New Roman"/>
        </w:rPr>
        <w:t xml:space="preserve">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w:t>
      </w:r>
      <w:del w:id="208" w:author="Unknown Author" w:date="2018-04-12T11:42:00Z">
        <w:r>
          <w:rPr>
            <w:rFonts w:cs="Times New Roman" w:ascii="Times New Roman" w:hAnsi="Times New Roman"/>
          </w:rPr>
          <w:delText xml:space="preserve">the </w:delText>
        </w:r>
      </w:del>
      <w:r>
        <w:rPr>
          <w:rFonts w:cs="Times New Roman" w:ascii="Times New Roman" w:hAnsi="Times New Roman"/>
        </w:rPr>
        <w:t xml:space="preserve">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w:t>
      </w:r>
      <w:del w:id="209" w:author="Unknown Author" w:date="2018-04-12T11:43:00Z">
        <w:r>
          <w:rPr>
            <w:rFonts w:cs="Times New Roman" w:ascii="Times New Roman" w:hAnsi="Times New Roman"/>
          </w:rPr>
          <w:delText xml:space="preserve">an </w:delText>
        </w:r>
      </w:del>
      <w:r>
        <w:rPr>
          <w:rFonts w:cs="Times New Roman" w:ascii="Times New Roman" w:hAnsi="Times New Roman"/>
        </w:rPr>
        <w:t xml:space="preserve">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w:t>
      </w:r>
      <w:del w:id="210" w:author="Unknown Author" w:date="2018-04-12T11:43:00Z">
        <w:r>
          <w:rPr>
            <w:rFonts w:cs="Times New Roman" w:ascii="Times New Roman" w:hAnsi="Times New Roman"/>
          </w:rPr>
          <w:delText>distinguished</w:delText>
        </w:r>
      </w:del>
      <w:ins w:id="211" w:author="Unknown Author" w:date="2018-04-12T11:43:00Z">
        <w:r>
          <w:rPr>
            <w:rFonts w:cs="Times New Roman" w:ascii="Times New Roman" w:hAnsi="Times New Roman"/>
          </w:rPr>
          <w:t>segregated</w:t>
        </w:r>
      </w:ins>
      <w:r>
        <w:rPr>
          <w:rFonts w:cs="Times New Roman" w:ascii="Times New Roman" w:hAnsi="Times New Roman"/>
        </w:rPr>
        <w:t xml:space="preserve">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w:t>
      </w:r>
      <w:ins w:id="212" w:author="Unknown Author" w:date="2018-04-12T11:44:00Z">
        <w:r>
          <w:rPr>
            <w:rFonts w:cs="Times New Roman" w:ascii="Times New Roman" w:hAnsi="Times New Roman"/>
          </w:rPr>
          <w:t>d</w:t>
        </w:r>
      </w:ins>
      <w:r>
        <w:rPr>
          <w:rFonts w:cs="Times New Roman" w:ascii="Times New Roman" w:hAnsi="Times New Roman"/>
        </w:rPr>
        <w:t xml:space="preserv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w:t>
      </w:r>
      <w:del w:id="213" w:author="Unknown Author" w:date="2018-04-12T11:44:00Z">
        <w:r>
          <w:rPr>
            <w:rFonts w:cs="Times New Roman" w:ascii="Times New Roman" w:hAnsi="Times New Roman"/>
          </w:rPr>
          <w:delText>excluded due to</w:delText>
        </w:r>
      </w:del>
      <w:r>
        <w:rPr>
          <w:rFonts w:cs="Times New Roman" w:ascii="Times New Roman" w:hAnsi="Times New Roman"/>
        </w:rPr>
        <w:t xml:space="preserve"> unavailabil</w:t>
      </w:r>
      <w:ins w:id="214" w:author="Unknown Author" w:date="2018-04-12T11:44:00Z">
        <w:r>
          <w:rPr>
            <w:rFonts w:cs="Times New Roman" w:ascii="Times New Roman" w:hAnsi="Times New Roman"/>
          </w:rPr>
          <w:t>e</w:t>
        </w:r>
      </w:ins>
      <w:del w:id="215" w:author="Unknown Author" w:date="2018-04-12T11:44:00Z">
        <w:r>
          <w:rPr>
            <w:rFonts w:cs="Times New Roman" w:ascii="Times New Roman" w:hAnsi="Times New Roman"/>
          </w:rPr>
          <w:delText>ity</w:delText>
        </w:r>
      </w:del>
      <w:r>
        <w:rPr>
          <w:rFonts w:cs="Times New Roman" w:ascii="Times New Roman" w:hAnsi="Times New Roman"/>
        </w:rPr>
        <w:t xml:space="preserve">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 xml:space="preserve">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w:t>
      </w:r>
      <w:del w:id="216" w:author="Unknown Author" w:date="2018-04-12T11:45:00Z">
        <w:r>
          <w:rPr>
            <w:rFonts w:cs="Times New Roman" w:ascii="Times New Roman" w:hAnsi="Times New Roman"/>
          </w:rPr>
          <w:delText xml:space="preserve">the </w:delText>
        </w:r>
      </w:del>
      <w:r>
        <w:rPr>
          <w:rFonts w:cs="Times New Roman" w:ascii="Times New Roman" w:hAnsi="Times New Roman"/>
        </w:rPr>
        <w:t>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pPr>
      <w:r>
        <w:rPr>
          <w:rFonts w:cs="Times New Roman" w:ascii="Times New Roman" w:hAnsi="Times New Roman"/>
        </w:rPr>
        <w:t xml:space="preserve">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w:t>
      </w:r>
      <w:ins w:id="217" w:author="Unknown Author" w:date="2018-04-12T11:46:00Z">
        <w:r>
          <w:rPr>
            <w:rFonts w:cs="Times New Roman" w:ascii="Times New Roman" w:hAnsi="Times New Roman"/>
          </w:rPr>
          <w:t>S</w:t>
        </w:r>
      </w:ins>
      <w:del w:id="218" w:author="Unknown Author" w:date="2018-04-12T11:46:00Z">
        <w:r>
          <w:rPr>
            <w:rFonts w:cs="Times New Roman" w:ascii="Times New Roman" w:hAnsi="Times New Roman"/>
          </w:rPr>
          <w:delText>The s</w:delText>
        </w:r>
      </w:del>
      <w:r>
        <w:rPr>
          <w:rFonts w:cs="Times New Roman" w:ascii="Times New Roman" w:hAnsi="Times New Roman"/>
        </w:rPr>
        <w:t>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del w:id="219" w:author="Unknown Author" w:date="2018-04-12T11:46:00Z">
        <w:r>
          <w:rPr>
            <w:rFonts w:cs="Times New Roman" w:ascii="Times New Roman" w:hAnsi="Times New Roman"/>
          </w:rPr>
          <w:delText>However</w:delText>
        </w:r>
      </w:del>
      <w:ins w:id="220" w:author="Unknown Author" w:date="2018-04-12T11:46:00Z">
        <w:r>
          <w:rPr>
            <w:rFonts w:cs="Times New Roman" w:ascii="Times New Roman" w:hAnsi="Times New Roman"/>
          </w:rPr>
          <w:t>Nonetheless</w:t>
        </w:r>
      </w:ins>
      <w:ins w:id="221" w:author="Unknown Author" w:date="2018-04-12T11:46:00Z">
        <w:r>
          <w:rPr>
            <w:rFonts w:cs="Times New Roman" w:ascii="Times New Roman" w:hAnsi="Times New Roman"/>
          </w:rPr>
          <w:commentReference w:id="10"/>
        </w:r>
      </w:ins>
      <w:r>
        <w:rPr>
          <w:rFonts w:cs="Times New Roman" w:ascii="Times New Roman" w:hAnsi="Times New Roman"/>
        </w:rPr>
        <w:t xml:space="preserve">,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w:t>
      </w:r>
      <w:del w:id="222" w:author="Unknown Author" w:date="2018-04-12T11:47:00Z">
        <w:r>
          <w:rPr>
            <w:rFonts w:cs="Times New Roman" w:ascii="Times New Roman" w:hAnsi="Times New Roman"/>
          </w:rPr>
          <w:delText>e one</w:delText>
        </w:r>
      </w:del>
      <w:ins w:id="223" w:author="Unknown Author" w:date="2018-04-12T11:47:00Z">
        <w:r>
          <w:rPr>
            <w:rFonts w:cs="Times New Roman" w:ascii="Times New Roman" w:hAnsi="Times New Roman"/>
          </w:rPr>
          <w:t>at</w:t>
        </w:r>
      </w:ins>
      <w:r>
        <w:rPr>
          <w:rFonts w:cs="Times New Roman" w:ascii="Times New Roman" w:hAnsi="Times New Roman"/>
        </w:rPr>
        <w:t xml:space="preserv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The fact that the average financial cost per FIG was higher in Manhiça (17.95 US$ per FIG) is mainly explained b</w:t>
      </w:r>
      <w:ins w:id="224" w:author="Unknown Author" w:date="2018-04-12T11:47:00Z">
        <w:r>
          <w:rPr>
            <w:rFonts w:cs="Times New Roman" w:ascii="Times New Roman" w:hAnsi="Times New Roman"/>
          </w:rPr>
          <w:t>y</w:t>
        </w:r>
      </w:ins>
      <w:del w:id="225" w:author="Unknown Author" w:date="2018-04-12T11:47:00Z">
        <w:r>
          <w:rPr>
            <w:rFonts w:cs="Times New Roman" w:ascii="Times New Roman" w:hAnsi="Times New Roman"/>
          </w:rPr>
          <w:delText>ecause it achieved</w:delText>
        </w:r>
      </w:del>
      <w:r>
        <w:rPr>
          <w:rFonts w:cs="Times New Roman" w:ascii="Times New Roman" w:hAnsi="Times New Roman"/>
        </w:rPr>
        <w:t xml:space="preserve"> a lower coverage rate (77%) than most of other demonstration programmes, but also </w:t>
      </w:r>
      <w:ins w:id="226" w:author="Unknown Author" w:date="2018-04-12T11:47:00Z">
        <w:r>
          <w:rPr>
            <w:rFonts w:cs="Times New Roman" w:ascii="Times New Roman" w:hAnsi="Times New Roman"/>
          </w:rPr>
          <w:t>by</w:t>
        </w:r>
      </w:ins>
      <w:del w:id="227" w:author="Unknown Author" w:date="2018-04-12T11:47:00Z">
        <w:r>
          <w:rPr>
            <w:rFonts w:cs="Times New Roman" w:ascii="Times New Roman" w:hAnsi="Times New Roman"/>
          </w:rPr>
          <w:delText>due to</w:delText>
        </w:r>
      </w:del>
      <w:r>
        <w:rPr>
          <w:rFonts w:cs="Times New Roman" w:ascii="Times New Roman" w:hAnsi="Times New Roman"/>
        </w:rPr>
        <w:t xml:space="preserve">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w:t>
      </w:r>
      <w:del w:id="228" w:author="Unknown Author" w:date="2018-04-12T11:47:00Z">
        <w:r>
          <w:rPr>
            <w:rFonts w:cs="Times New Roman" w:ascii="Times New Roman" w:hAnsi="Times New Roman"/>
          </w:rPr>
          <w:delText xml:space="preserve">an </w:delText>
        </w:r>
      </w:del>
      <w:r>
        <w:rPr>
          <w:rFonts w:cs="Times New Roman" w:ascii="Times New Roman" w:hAnsi="Times New Roman"/>
        </w:rPr>
        <w:t>important implication</w:t>
      </w:r>
      <w:ins w:id="229" w:author="Unknown Author" w:date="2018-04-12T11:48:00Z">
        <w:r>
          <w:rPr>
            <w:rFonts w:cs="Times New Roman" w:ascii="Times New Roman" w:hAnsi="Times New Roman"/>
          </w:rPr>
          <w:t>s</w:t>
        </w:r>
      </w:ins>
      <w:r>
        <w:rPr>
          <w:rFonts w:cs="Times New Roman" w:ascii="Times New Roman" w:hAnsi="Times New Roman"/>
        </w:rPr>
        <w:t xml:space="preserve">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 xml:space="preserve">Alternative estimations of the costs for delivering HPV vaccination either under a health facility delivery strategy or as part of existing programmes (adolescent health) would reveal which strategies are </w:t>
      </w:r>
      <w:del w:id="230" w:author="Unknown Author" w:date="2018-04-12T11:48:00Z">
        <w:r>
          <w:rPr>
            <w:rFonts w:cs="Times New Roman" w:ascii="Times New Roman" w:hAnsi="Times New Roman"/>
          </w:rPr>
          <w:delText>more</w:delText>
        </w:r>
      </w:del>
      <w:ins w:id="231" w:author="Unknown Author" w:date="2018-04-12T11:48:00Z">
        <w:r>
          <w:rPr>
            <w:rFonts w:cs="Times New Roman" w:ascii="Times New Roman" w:hAnsi="Times New Roman"/>
          </w:rPr>
          <w:t>most</w:t>
        </w:r>
      </w:ins>
      <w:r>
        <w:rPr>
          <w:rFonts w:cs="Times New Roman" w:ascii="Times New Roman" w:hAnsi="Times New Roman"/>
        </w:rPr>
        <w:t xml:space="preserv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pPr>
      <w:r>
        <w:rPr>
          <w:rFonts w:cs="Times New Roman" w:ascii="Times New Roman" w:hAnsi="Times New Roman"/>
        </w:rPr>
        <w:t xml:space="preserve">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w:t>
      </w:r>
      <w:del w:id="232" w:author="Unknown Author" w:date="2018-04-12T11:49:00Z">
        <w:r>
          <w:rPr>
            <w:rFonts w:cs="Times New Roman" w:ascii="Times New Roman" w:hAnsi="Times New Roman"/>
          </w:rPr>
          <w:delText>Notwithstanding</w:delText>
        </w:r>
      </w:del>
      <w:ins w:id="233" w:author="Unknown Author" w:date="2018-04-12T11:49:00Z">
        <w:r>
          <w:rPr>
            <w:rFonts w:cs="Times New Roman" w:ascii="Times New Roman" w:hAnsi="Times New Roman"/>
          </w:rPr>
          <w:t>Nonetheless</w:t>
        </w:r>
      </w:ins>
      <w:r>
        <w:rPr>
          <w:rFonts w:cs="Times New Roman" w:ascii="Times New Roman" w:hAnsi="Times New Roman"/>
        </w:rPr>
        <w:t>,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w:t>
      </w:r>
      <w:del w:id="234" w:author="Unknown Author" w:date="2018-04-12T11:49:00Z">
        <w:r>
          <w:rPr>
            <w:rFonts w:cs="Times New Roman" w:ascii="Times New Roman" w:hAnsi="Times New Roman"/>
          </w:rPr>
          <w:delText>to</w:delText>
        </w:r>
      </w:del>
      <w:ins w:id="235" w:author="Unknown Author" w:date="2018-04-12T11:49:00Z">
        <w:r>
          <w:rPr>
            <w:rFonts w:cs="Times New Roman" w:ascii="Times New Roman" w:hAnsi="Times New Roman"/>
          </w:rPr>
          <w:t>for</w:t>
        </w:r>
      </w:ins>
      <w:r>
        <w:rPr>
          <w:rFonts w:cs="Times New Roman" w:ascii="Times New Roman" w:hAnsi="Times New Roman"/>
        </w:rPr>
        <w:t xml:space="preserve"> the campaign, its task consisted </w:t>
      </w:r>
      <w:del w:id="236" w:author="Unknown Author" w:date="2018-04-12T11:49:00Z">
        <w:r>
          <w:rPr>
            <w:rFonts w:cs="Times New Roman" w:ascii="Times New Roman" w:hAnsi="Times New Roman"/>
          </w:rPr>
          <w:delText>in</w:delText>
        </w:r>
      </w:del>
      <w:ins w:id="237" w:author="Unknown Author" w:date="2018-04-12T11:49:00Z">
        <w:r>
          <w:rPr>
            <w:rFonts w:cs="Times New Roman" w:ascii="Times New Roman" w:hAnsi="Times New Roman"/>
          </w:rPr>
          <w:t>of</w:t>
        </w:r>
      </w:ins>
      <w:r>
        <w:rPr>
          <w:rFonts w:cs="Times New Roman" w:ascii="Times New Roman" w:hAnsi="Times New Roman"/>
        </w:rPr>
        <w:t xml:space="preserve"> coordinating the identification of </w:t>
      </w:r>
      <w:del w:id="238" w:author="Unknown Author" w:date="2018-04-12T11:49:00Z">
        <w:r>
          <w:rPr>
            <w:rFonts w:cs="Times New Roman" w:ascii="Times New Roman" w:hAnsi="Times New Roman"/>
          </w:rPr>
          <w:delText xml:space="preserve">the </w:delText>
        </w:r>
      </w:del>
      <w:r>
        <w:rPr>
          <w:rFonts w:cs="Times New Roman" w:ascii="Times New Roman" w:hAnsi="Times New Roman"/>
        </w:rPr>
        <w:t>10-year-old girls with the support of the Centro de Investigação em Saúde de Manhiça (CISM). During this process, teachers used the girls</w:t>
      </w:r>
      <w:ins w:id="239" w:author="Unknown Author" w:date="2018-04-12T11:49:00Z">
        <w:r>
          <w:rPr>
            <w:rFonts w:cs="Times New Roman" w:ascii="Times New Roman" w:hAnsi="Times New Roman"/>
          </w:rPr>
          <w:t>’</w:t>
        </w:r>
      </w:ins>
      <w:r>
        <w:rPr>
          <w:rFonts w:cs="Times New Roman" w:ascii="Times New Roman" w:hAnsi="Times New Roman"/>
        </w:rPr>
        <w:t xml:space="preserve"> name as </w:t>
      </w:r>
      <w:del w:id="240" w:author="Unknown Author" w:date="2018-04-12T11:49:00Z">
        <w:r>
          <w:rPr>
            <w:rFonts w:cs="Times New Roman" w:ascii="Times New Roman" w:hAnsi="Times New Roman"/>
          </w:rPr>
          <w:delText xml:space="preserve">the </w:delText>
        </w:r>
      </w:del>
      <w:r>
        <w:rPr>
          <w:rFonts w:cs="Times New Roman" w:ascii="Times New Roman" w:hAnsi="Times New Roman"/>
        </w:rPr>
        <w:t>personal identification and recorded the information in registration books at each school</w:t>
      </w:r>
      <w:del w:id="241" w:author="Unknown Author" w:date="2018-04-12T11:50:00Z">
        <w:r>
          <w:rPr>
            <w:rFonts w:cs="Times New Roman" w:ascii="Times New Roman" w:hAnsi="Times New Roman"/>
          </w:rPr>
          <w:delText>;</w:delText>
        </w:r>
      </w:del>
      <w:ins w:id="242" w:author="Unknown Author" w:date="2018-04-12T11:50:00Z">
        <w:r>
          <w:rPr>
            <w:rFonts w:cs="Times New Roman" w:ascii="Times New Roman" w:hAnsi="Times New Roman"/>
          </w:rPr>
          <w:t>,</w:t>
        </w:r>
      </w:ins>
      <w:r>
        <w:rPr>
          <w:rFonts w:cs="Times New Roman" w:ascii="Times New Roman" w:hAnsi="Times New Roman"/>
        </w:rPr>
        <w:t xml:space="preserve"> censing the target population. On </w:t>
      </w:r>
      <w:ins w:id="243" w:author="Unknown Author" w:date="2018-04-12T11:50:00Z">
        <w:r>
          <w:rPr>
            <w:rFonts w:cs="Times New Roman" w:ascii="Times New Roman" w:hAnsi="Times New Roman"/>
          </w:rPr>
          <w:t xml:space="preserve">the </w:t>
        </w:r>
      </w:ins>
      <w:r>
        <w:rPr>
          <w:rFonts w:cs="Times New Roman" w:ascii="Times New Roman" w:hAnsi="Times New Roman"/>
        </w:rPr>
        <w:t xml:space="preserve">one hand, the school-based census allowed achieving the vaccination of almost all girls enrolled at school (table S2.1). On the other hand, this approach did not allow reaching out-of-school girls in the community. Manhiça DDE </w:t>
      </w:r>
      <w:del w:id="244" w:author="Unknown Author" w:date="2018-04-12T11:50:00Z">
        <w:r>
          <w:rPr>
            <w:rFonts w:cs="Times New Roman" w:ascii="Times New Roman" w:hAnsi="Times New Roman"/>
          </w:rPr>
          <w:delText>did</w:delText>
        </w:r>
      </w:del>
      <w:ins w:id="245" w:author="Unknown Author" w:date="2018-04-12T11:50:00Z">
        <w:r>
          <w:rPr>
            <w:rFonts w:cs="Times New Roman" w:ascii="Times New Roman" w:hAnsi="Times New Roman"/>
          </w:rPr>
          <w:t>made</w:t>
        </w:r>
      </w:ins>
      <w:r>
        <w:rPr>
          <w:rFonts w:cs="Times New Roman" w:ascii="Times New Roman" w:hAnsi="Times New Roman"/>
        </w:rPr>
        <w:t xml:space="preserve">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pPr>
      <w:r>
        <w:rPr>
          <w:rFonts w:cs="Times New Roman" w:ascii="Times New Roman" w:hAnsi="Times New Roman"/>
        </w:rPr>
        <w:t>The Ministry of Education (MoE) incurred no direct expenses but some resources were used during the HPV programme, considered in the analysis as economic cost</w:t>
      </w:r>
      <w:ins w:id="246" w:author="Unknown Author" w:date="2018-04-12T11:50:00Z">
        <w:r>
          <w:rPr>
            <w:rFonts w:cs="Times New Roman" w:ascii="Times New Roman" w:hAnsi="Times New Roman"/>
          </w:rPr>
          <w:t>s</w:t>
        </w:r>
      </w:ins>
      <w:r>
        <w:rPr>
          <w:rFonts w:cs="Times New Roman" w:ascii="Times New Roman" w:hAnsi="Times New Roman"/>
        </w:rPr>
        <w:t xml:space="preserve">.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w:t>
      </w:r>
      <w:ins w:id="247" w:author="Unknown Author" w:date="2018-04-12T11:51:00Z">
        <w:r>
          <w:rPr>
            <w:rFonts w:cs="Times New Roman" w:ascii="Times New Roman" w:hAnsi="Times New Roman"/>
          </w:rPr>
          <w:t>traveled</w:t>
        </w:r>
      </w:ins>
      <w:del w:id="248" w:author="Unknown Author" w:date="2018-04-12T11:51:00Z">
        <w:r>
          <w:rPr>
            <w:rFonts w:cs="Times New Roman" w:ascii="Times New Roman" w:hAnsi="Times New Roman"/>
          </w:rPr>
          <w:delText>travelled</w:delText>
        </w:r>
      </w:del>
      <w:r>
        <w:rPr>
          <w:rFonts w:cs="Times New Roman" w:ascii="Times New Roman" w:hAnsi="Times New Roman"/>
        </w:rPr>
        <w:t xml:space="preserve">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w:t>
            </w:r>
            <w:ins w:id="249" w:author="Unknown Author" w:date="2018-04-12T11:51:00Z">
              <w:r>
                <w:rPr>
                  <w:rFonts w:eastAsia="Times New Roman" w:cs="Times New Roman" w:ascii="Calibri" w:hAnsi="Calibri"/>
                  <w:color w:val="000000"/>
                </w:rPr>
                <w:commentReference w:id="11"/>
              </w:r>
            </w:ins>
            <w:r>
              <w:rPr>
                <w:rFonts w:eastAsia="Times New Roman" w:cs="Times New Roman" w:ascii="Calibri" w:hAnsi="Calibri"/>
                <w:color w:val="000000"/>
              </w:rPr>
              <w: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Mun</w:t>
            </w:r>
            <w:ins w:id="250" w:author="Unknown Author" w:date="2018-04-12T11:52:00Z">
              <w:r>
                <w:rPr>
                  <w:rFonts w:eastAsia="Times New Roman" w:cs="Times New Roman" w:ascii="Calibri" w:hAnsi="Calibri"/>
                  <w:b/>
                  <w:bCs/>
                  <w:i/>
                  <w:iCs/>
                  <w:color w:val="000000"/>
                </w:rPr>
                <w:commentReference w:id="12"/>
              </w:r>
            </w:ins>
            <w:r>
              <w:rPr>
                <w:rFonts w:eastAsia="Times New Roman" w:cs="Times New Roman" w:ascii="Calibri" w:hAnsi="Calibri"/>
                <w:b/>
                <w:bCs/>
                <w:i/>
                <w:iCs/>
                <w:color w:val="000000"/>
              </w:rPr>
              <w:t xml:space="preserve">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The studies presented in this thesis contribute to understanding how to improve access to effective interventions related to VL, malaria and HPV in selected African countries. Although generalisations must be </w:t>
      </w:r>
      <w:del w:id="251" w:author="Unknown Author" w:date="2018-04-12T11:52:00Z">
        <w:r>
          <w:rPr>
            <w:rFonts w:ascii="Calibri" w:hAnsi="Calibri" w:asciiTheme="majorHAnsi" w:hAnsiTheme="majorHAnsi"/>
            <w:lang w:val="en-GB"/>
          </w:rPr>
          <w:delText>addressed</w:delText>
        </w:r>
      </w:del>
      <w:ins w:id="252" w:author="Unknown Author" w:date="2018-04-12T11:52:00Z">
        <w:r>
          <w:rPr>
            <w:rFonts w:ascii="Calibri" w:hAnsi="Calibri" w:asciiTheme="majorHAnsi" w:hAnsiTheme="majorHAnsi"/>
            <w:lang w:val="en-GB"/>
          </w:rPr>
          <w:t>made</w:t>
        </w:r>
      </w:ins>
      <w:r>
        <w:rPr>
          <w:rFonts w:ascii="Calibri" w:hAnsi="Calibri" w:asciiTheme="majorHAnsi" w:hAnsiTheme="majorHAnsi"/>
          <w:lang w:val="en-GB"/>
        </w:rPr>
        <w:t xml:space="preserve">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w:t>
      </w:r>
      <w:del w:id="253" w:author="Unknown Author" w:date="2018-04-12T11:53:00Z">
        <w:r>
          <w:rPr>
            <w:rFonts w:ascii="Calibri" w:hAnsi="Calibri" w:asciiTheme="majorHAnsi" w:hAnsiTheme="majorHAnsi"/>
            <w:lang w:val="en-GB"/>
          </w:rPr>
          <w:delText xml:space="preserve">the </w:delText>
        </w:r>
      </w:del>
      <w:r>
        <w:rPr>
          <w:rFonts w:ascii="Calibri" w:hAnsi="Calibri" w:asciiTheme="majorHAnsi" w:hAnsiTheme="majorHAnsi"/>
          <w:lang w:val="en-GB"/>
        </w:rPr>
        <w:t>health system costs for VL care in Morocco. Estimated cost remains much lower than th</w:t>
      </w:r>
      <w:ins w:id="254" w:author="Unknown Author" w:date="2018-04-12T11:55:00Z">
        <w:r>
          <w:rPr>
            <w:rFonts w:ascii="Calibri" w:hAnsi="Calibri" w:asciiTheme="majorHAnsi" w:hAnsiTheme="majorHAnsi"/>
            <w:lang w:val="en-GB"/>
          </w:rPr>
          <w:t>ose</w:t>
        </w:r>
      </w:ins>
      <w:del w:id="255" w:author="Unknown Author" w:date="2018-04-12T11:55:00Z">
        <w:r>
          <w:rPr>
            <w:rFonts w:ascii="Calibri" w:hAnsi="Calibri" w:asciiTheme="majorHAnsi" w:hAnsiTheme="majorHAnsi"/>
            <w:lang w:val="en-GB"/>
          </w:rPr>
          <w:delText>e ones</w:delText>
        </w:r>
      </w:del>
      <w:r>
        <w:rPr>
          <w:rFonts w:ascii="Calibri" w:hAnsi="Calibri" w:asciiTheme="majorHAnsi" w:hAnsiTheme="majorHAnsi"/>
          <w:lang w:val="en-GB"/>
        </w:rPr>
        <w:t xml:space="preserve">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Determinants of </w:t>
      </w:r>
      <w:del w:id="256" w:author="Unknown Author" w:date="2018-04-12T11:56: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theoretical demand were assessed. Importantly, the negative relationship between the number of previous malaria episodes and ability-to-pay for AL represented the inverse demand function for AL, which was fairly elastic (elasticity=-14%). This can be interpreted as </w:t>
      </w:r>
      <w:ins w:id="257" w:author="Unknown Author" w:date="2018-04-12T11:56:00Z">
        <w:r>
          <w:rPr>
            <w:rFonts w:ascii="Calibri" w:hAnsi="Calibri" w:asciiTheme="majorHAnsi" w:hAnsiTheme="majorHAnsi"/>
            <w:lang w:val="en-GB"/>
          </w:rPr>
          <w:t xml:space="preserve">follows: </w:t>
        </w:r>
      </w:ins>
      <w:r>
        <w:rPr>
          <w:rFonts w:ascii="Calibri" w:hAnsi="Calibri" w:asciiTheme="majorHAnsi" w:hAnsiTheme="majorHAnsi"/>
          <w:lang w:val="en-GB"/>
        </w:rPr>
        <w:t>the more malaria episodes a child overcomes the lower malaria risk is perceived by caregivers, decreasing their demand for paediatric AL. Other covariates were found to significantly decrease the demand for AL: child age, household wealth and certain neighbour</w:t>
      </w:r>
      <w:ins w:id="258" w:author="Unknown Author" w:date="2018-04-12T11:56:00Z">
        <w:r>
          <w:rPr>
            <w:rFonts w:ascii="Calibri" w:hAnsi="Calibri" w:asciiTheme="majorHAnsi" w:hAnsiTheme="majorHAnsi"/>
            <w:lang w:val="en-GB"/>
          </w:rPr>
          <w:t>hood</w:t>
        </w:r>
      </w:ins>
      <w:r>
        <w:rPr>
          <w:rFonts w:ascii="Calibri" w:hAnsi="Calibri" w:asciiTheme="majorHAnsi" w:hAnsiTheme="majorHAnsi"/>
          <w:lang w:val="en-GB"/>
        </w:rPr>
        <w:t xml:space="preserve"> of residence inside the district in comparison to the ability-to-pay expressed by caregivers living in Manhiça town. On the contrary, household head occupation was positively associated with </w:t>
      </w:r>
      <w:del w:id="259" w:author="Unknown Author" w:date="2018-04-12T11:56:00Z">
        <w:r>
          <w:rPr>
            <w:rFonts w:ascii="Calibri" w:hAnsi="Calibri" w:asciiTheme="majorHAnsi" w:hAnsiTheme="majorHAnsi"/>
            <w:lang w:val="en-GB"/>
          </w:rPr>
          <w:delText xml:space="preserve">the </w:delText>
        </w:r>
      </w:del>
      <w:r>
        <w:rPr>
          <w:rFonts w:ascii="Calibri" w:hAnsi="Calibri" w:asciiTheme="majorHAnsi" w:hAnsiTheme="majorHAnsi"/>
          <w:lang w:val="en-GB"/>
        </w:rPr>
        <w:t>demand for AL: those working in terti</w:t>
      </w:r>
      <w:ins w:id="260" w:author="Unknown Author" w:date="2018-04-12T11:57:00Z">
        <w:r>
          <w:rPr>
            <w:rFonts w:ascii="Calibri" w:hAnsi="Calibri" w:asciiTheme="majorHAnsi" w:hAnsiTheme="majorHAnsi"/>
            <w:lang w:val="en-GB"/>
          </w:rPr>
          <w:commentReference w:id="13"/>
        </w:r>
      </w:ins>
      <w:r>
        <w:rPr>
          <w:rFonts w:ascii="Calibri" w:hAnsi="Calibri" w:asciiTheme="majorHAnsi" w:hAnsiTheme="majorHAnsi"/>
          <w:lang w:val="en-GB"/>
        </w:rPr>
        <w:t>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w:t>
      </w:r>
      <w:del w:id="261" w:author="Unknown Author" w:date="2018-04-12T11:57:00Z">
        <w:r>
          <w:rPr>
            <w:rFonts w:ascii="Calibri" w:hAnsi="Calibri" w:asciiTheme="majorHAnsi" w:hAnsiTheme="majorHAnsi"/>
            <w:lang w:val="en-GB"/>
          </w:rPr>
          <w:delText xml:space="preserve">the </w:delText>
        </w:r>
      </w:del>
      <w:r>
        <w:rPr>
          <w:rFonts w:ascii="Calibri" w:hAnsi="Calibri" w:asciiTheme="majorHAnsi" w:hAnsiTheme="majorHAnsi"/>
          <w:lang w:val="en-GB"/>
        </w:rPr>
        <w:t>estimated local demand and supply, the theoretical market cleared at a price of 0.70 U$ per uncomplicated malaria episode. The amount was lower than the ability-to-pay stated by half of the study sample. Thus, in case of stock-out</w:t>
      </w:r>
      <w:ins w:id="262" w:author="Unknown Author" w:date="2018-04-12T11:57:00Z">
        <w:r>
          <w:rPr>
            <w:rFonts w:ascii="Calibri" w:hAnsi="Calibri" w:asciiTheme="majorHAnsi" w:hAnsiTheme="majorHAnsi"/>
            <w:lang w:val="en-GB"/>
          </w:rPr>
          <w:t>s</w:t>
        </w:r>
      </w:ins>
      <w:r>
        <w:rPr>
          <w:rFonts w:ascii="Calibri" w:hAnsi="Calibri" w:asciiTheme="majorHAnsi" w:hAnsiTheme="majorHAnsi"/>
          <w:lang w:val="en-GB"/>
        </w:rPr>
        <w:t xml:space="preserve"> at public facilities, which </w:t>
      </w:r>
      <w:del w:id="263" w:author="Unknown Author" w:date="2018-04-12T11:57:00Z">
        <w:r>
          <w:rPr>
            <w:rFonts w:ascii="Calibri" w:hAnsi="Calibri" w:asciiTheme="majorHAnsi" w:hAnsiTheme="majorHAnsi"/>
            <w:lang w:val="en-GB"/>
          </w:rPr>
          <w:delText>is</w:delText>
        </w:r>
      </w:del>
      <w:ins w:id="264" w:author="Unknown Author" w:date="2018-04-12T11:57:00Z">
        <w:r>
          <w:rPr>
            <w:rFonts w:ascii="Calibri" w:hAnsi="Calibri" w:asciiTheme="majorHAnsi" w:hAnsiTheme="majorHAnsi"/>
            <w:lang w:val="en-GB"/>
          </w:rPr>
          <w:t>are</w:t>
        </w:r>
      </w:ins>
      <w:r>
        <w:rPr>
          <w:rFonts w:ascii="Calibri" w:hAnsi="Calibri" w:asciiTheme="majorHAnsi" w:hAnsiTheme="majorHAnsi"/>
          <w:lang w:val="en-GB"/>
        </w:rPr>
        <w:t xml:space="preserve">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w:t>
      </w:r>
      <w:del w:id="265" w:author="Unknown Author" w:date="2018-04-12T11:5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treatment in the private market, implying inequity in </w:t>
      </w:r>
      <w:del w:id="266" w:author="Unknown Author" w:date="2018-04-12T11:57:00Z">
        <w:r>
          <w:rPr>
            <w:rFonts w:ascii="Calibri" w:hAnsi="Calibri" w:asciiTheme="majorHAnsi" w:hAnsiTheme="majorHAnsi"/>
            <w:lang w:val="en-GB"/>
          </w:rPr>
          <w:delText xml:space="preserve">the </w:delText>
        </w:r>
      </w:del>
      <w:r>
        <w:rPr>
          <w:rFonts w:ascii="Calibri" w:hAnsi="Calibri" w:asciiTheme="majorHAnsi" w:hAnsiTheme="majorHAnsi"/>
          <w:lang w:val="en-GB"/>
        </w:rPr>
        <w:t>access to malaria treatment. To avoid this situation, and despite</w:t>
      </w:r>
      <w:ins w:id="267" w:author="Unknown Author" w:date="2018-04-12T11:57:00Z">
        <w:r>
          <w:rPr>
            <w:rFonts w:ascii="Calibri" w:hAnsi="Calibri" w:asciiTheme="majorHAnsi" w:hAnsiTheme="majorHAnsi"/>
            <w:lang w:val="en-GB"/>
          </w:rPr>
          <w:t xml:space="preserve"> </w:t>
        </w:r>
      </w:ins>
      <w:ins w:id="268" w:author="Unknown Author" w:date="2018-04-12T11:57:00Z">
        <w:r>
          <w:rPr>
            <w:rFonts w:ascii="Calibri" w:hAnsi="Calibri" w:asciiTheme="majorHAnsi" w:hAnsiTheme="majorHAnsi"/>
            <w:lang w:val="en-GB"/>
          </w:rPr>
          <w:t>that fact that</w:t>
        </w:r>
      </w:ins>
      <w:r>
        <w:rPr>
          <w:rFonts w:ascii="Calibri" w:hAnsi="Calibri" w:asciiTheme="majorHAnsi" w:hAnsiTheme="majorHAnsi"/>
          <w:lang w:val="en-GB"/>
        </w:rPr>
        <w:t xml:space="preserve"> malaria treatment is provided for free at the public health facilities, reducing</w:t>
      </w:r>
      <w:ins w:id="269" w:author="Unknown Author" w:date="2018-04-12T11:58:00Z">
        <w:r>
          <w:rPr>
            <w:rFonts w:ascii="Calibri" w:hAnsi="Calibri" w:asciiTheme="majorHAnsi" w:hAnsiTheme="majorHAnsi"/>
            <w:lang w:val="en-GB"/>
          </w:rPr>
          <w:t xml:space="preserve"> </w:t>
        </w:r>
      </w:ins>
      <w:ins w:id="270" w:author="Unknown Author" w:date="2018-04-12T11:58:00Z">
        <w:r>
          <w:rPr>
            <w:rFonts w:ascii="Calibri" w:hAnsi="Calibri" w:asciiTheme="majorHAnsi" w:hAnsiTheme="majorHAnsi"/>
            <w:lang w:val="en-GB"/>
          </w:rPr>
          <w:t>and</w:t>
        </w:r>
      </w:ins>
      <w:del w:id="271" w:author="Unknown Author" w:date="2018-04-12T11:58:00Z">
        <w:r>
          <w:rPr>
            <w:rFonts w:ascii="Calibri" w:hAnsi="Calibri" w:asciiTheme="majorHAnsi" w:hAnsiTheme="majorHAnsi"/>
            <w:lang w:val="en-GB"/>
          </w:rPr>
          <w:delText xml:space="preserve">, </w:delText>
        </w:r>
      </w:del>
      <w:r>
        <w:rPr>
          <w:rFonts w:ascii="Calibri" w:hAnsi="Calibri" w:asciiTheme="majorHAnsi" w:hAnsiTheme="majorHAnsi"/>
          <w:lang w:val="en-GB"/>
        </w:rPr>
        <w:t xml:space="preserve">stabilising local private prices and strengthening </w:t>
      </w:r>
      <w:del w:id="272" w:author="Unknown Author" w:date="2018-04-12T11:5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w:t>
      </w:r>
      <w:del w:id="273" w:author="Unknown Author" w:date="2018-04-12T11:5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pPr>
      <w:r>
        <w:rPr>
          <w:rFonts w:ascii="Calibri" w:hAnsi="Calibri" w:asciiTheme="majorHAnsi" w:hAnsiTheme="majorHAnsi"/>
          <w:lang w:val="en-GB"/>
        </w:rPr>
        <w:t>Despite antimonials requir</w:t>
      </w:r>
      <w:ins w:id="274" w:author="Unknown Author" w:date="2018-04-12T11:58:00Z">
        <w:r>
          <w:rPr>
            <w:rFonts w:ascii="Calibri" w:hAnsi="Calibri" w:asciiTheme="majorHAnsi" w:hAnsiTheme="majorHAnsi"/>
            <w:lang w:val="en-GB"/>
          </w:rPr>
          <w:t>ing</w:t>
        </w:r>
      </w:ins>
      <w:del w:id="275" w:author="Unknown Author" w:date="2018-04-12T11:58:00Z">
        <w:r>
          <w:rPr>
            <w:rFonts w:ascii="Calibri" w:hAnsi="Calibri" w:asciiTheme="majorHAnsi" w:hAnsiTheme="majorHAnsi"/>
            <w:lang w:val="en-GB"/>
          </w:rPr>
          <w:delText>e</w:delText>
        </w:r>
      </w:del>
      <w:r>
        <w:rPr>
          <w:rFonts w:ascii="Calibri" w:hAnsi="Calibri" w:asciiTheme="majorHAnsi" w:hAnsiTheme="majorHAnsi"/>
          <w:lang w:val="en-GB"/>
        </w:rPr>
        <w:t xml:space="preserve"> close monitoring</w:t>
      </w:r>
      <w:ins w:id="276" w:author="Unknown Author" w:date="2018-04-12T11:59:00Z">
        <w:r>
          <w:rPr>
            <w:rFonts w:ascii="Calibri" w:hAnsi="Calibri" w:asciiTheme="majorHAnsi" w:hAnsiTheme="majorHAnsi"/>
            <w:lang w:val="en-GB"/>
          </w:rPr>
          <w:t>,</w:t>
        </w:r>
      </w:ins>
      <w:del w:id="277" w:author="Unknown Author" w:date="2018-04-12T11:59:00Z">
        <w:r>
          <w:rPr>
            <w:rFonts w:ascii="Calibri" w:hAnsi="Calibri" w:asciiTheme="majorHAnsi" w:hAnsiTheme="majorHAnsi"/>
            <w:lang w:val="en-GB"/>
          </w:rPr>
          <w:delText xml:space="preserve">; </w:delText>
        </w:r>
      </w:del>
      <w:r>
        <w:rPr>
          <w:rFonts w:ascii="Calibri" w:hAnsi="Calibri" w:asciiTheme="majorHAnsi" w:hAnsiTheme="majorHAnsi"/>
          <w:lang w:val="en-GB"/>
        </w:rPr>
        <w:t xml:space="preserve">some patients were discharged from hospital </w:t>
      </w:r>
      <w:del w:id="278" w:author="Unknown Author" w:date="2018-04-12T11:59:00Z">
        <w:r>
          <w:rPr>
            <w:rFonts w:ascii="Calibri" w:hAnsi="Calibri" w:asciiTheme="majorHAnsi" w:hAnsiTheme="majorHAnsi"/>
            <w:lang w:val="en-GB"/>
          </w:rPr>
          <w:delText>early</w:delText>
        </w:r>
      </w:del>
      <w:ins w:id="279" w:author="Unknown Author" w:date="2018-04-12T11:59:00Z">
        <w:r>
          <w:rPr>
            <w:rFonts w:ascii="Calibri" w:hAnsi="Calibri" w:asciiTheme="majorHAnsi" w:hAnsiTheme="majorHAnsi"/>
            <w:lang w:val="en-GB"/>
          </w:rPr>
          <w:t>prematurely</w:t>
        </w:r>
      </w:ins>
      <w:r>
        <w:rPr>
          <w:rFonts w:ascii="Calibri" w:hAnsi="Calibri" w:asciiTheme="majorHAnsi" w:hAnsiTheme="majorHAnsi"/>
          <w:lang w:val="en-GB"/>
        </w:rPr>
        <w:t xml:space="preserve">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 w:id="9" w:author="Unknown Author" w:date="2018-04-12T11:42:14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Are you sure this value is appropriate for vehicles? I’m fairly certain that (a) it’s not linear and (b) the depreciation in the first year is WAY more than 3%, right?</w:t>
      </w:r>
    </w:p>
  </w:comment>
  <w:comment w:id="10" w:author="Unknown Author" w:date="2018-04-12T11:46:49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To avoid the repetition of “however” from the previous sentence</w:t>
      </w:r>
    </w:p>
  </w:comment>
  <w:comment w:id="11" w:author="Unknown Author" w:date="2018-04-12T11:5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Why the different font in this table?</w:t>
      </w:r>
    </w:p>
  </w:comment>
  <w:comment w:id="12" w:author="Unknown Author" w:date="2018-04-12T11:52: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There is inconsistency in accent use on the “i” in Municipio (see above cell).</w:t>
      </w:r>
    </w:p>
  </w:comment>
  <w:comment w:id="13" w:author="Unknown Author" w:date="2018-04-12T11:57:0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What is “tertiary” activity?</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89</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107</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131</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208</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208</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Application>LibreOffice/5.1.6.2$Linux_X86_64 LibreOffice_project/10m0$Build-2</Application>
  <Pages>208</Pages>
  <Words>32027</Words>
  <Characters>183103</Characters>
  <CharactersWithSpaces>211225</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2018-04-12T11:59:10Z</dcterms:modified>
  <cp:revision>112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